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C9206" w14:textId="70CE3698" w:rsidR="004039CF" w:rsidRDefault="004039CF" w:rsidP="004039CF">
      <w:pPr>
        <w:pStyle w:val="NoSpacing"/>
        <w:ind w:left="270" w:firstLine="720"/>
        <w:rPr>
          <w:rFonts w:cs="Times New Roman"/>
        </w:rPr>
      </w:pPr>
      <w:r w:rsidRPr="004039CF">
        <w:rPr>
          <w:rFonts w:cs="Times New Roman"/>
          <w:noProof/>
        </w:rPr>
        <w:drawing>
          <wp:anchor distT="0" distB="0" distL="114300" distR="114300" simplePos="0" relativeHeight="251659264" behindDoc="1" locked="0" layoutInCell="1" allowOverlap="1" wp14:anchorId="62452A5B" wp14:editId="32CCB075">
            <wp:simplePos x="0" y="0"/>
            <wp:positionH relativeFrom="page">
              <wp:posOffset>194812</wp:posOffset>
            </wp:positionH>
            <wp:positionV relativeFrom="paragraph">
              <wp:posOffset>-680720</wp:posOffset>
            </wp:positionV>
            <wp:extent cx="8802448" cy="11399475"/>
            <wp:effectExtent l="0" t="0" r="0" b="5715"/>
            <wp:wrapNone/>
            <wp:docPr id="1" name="Picture 1" descr="A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02448" cy="11399475"/>
                    </a:xfrm>
                    <a:prstGeom prst="rect">
                      <a:avLst/>
                    </a:prstGeom>
                    <a:noFill/>
                  </pic:spPr>
                </pic:pic>
              </a:graphicData>
            </a:graphic>
            <wp14:sizeRelH relativeFrom="page">
              <wp14:pctWidth>0</wp14:pctWidth>
            </wp14:sizeRelH>
            <wp14:sizeRelV relativeFrom="page">
              <wp14:pctHeight>0</wp14:pctHeight>
            </wp14:sizeRelV>
          </wp:anchor>
        </w:drawing>
      </w:r>
      <w:r w:rsidR="0028535F">
        <w:rPr>
          <w:rFonts w:cs="Times New Roman"/>
        </w:rPr>
        <w:t>May 13</w:t>
      </w:r>
      <w:r>
        <w:rPr>
          <w:rFonts w:cs="Times New Roman"/>
        </w:rPr>
        <w:t>, 2019</w:t>
      </w:r>
    </w:p>
    <w:p w14:paraId="2B54E876" w14:textId="7366AE16" w:rsidR="004039CF" w:rsidRDefault="004039CF" w:rsidP="004039CF">
      <w:pPr>
        <w:pStyle w:val="NoSpacing"/>
        <w:ind w:left="270" w:firstLine="720"/>
        <w:rPr>
          <w:rFonts w:cs="Times New Roman"/>
        </w:rPr>
      </w:pPr>
    </w:p>
    <w:p w14:paraId="6B35F6D5" w14:textId="77777777" w:rsidR="001B7E7F" w:rsidRDefault="0016325B" w:rsidP="001B7E7F">
      <w:pPr>
        <w:pStyle w:val="Default"/>
        <w:ind w:left="990"/>
      </w:pPr>
      <w:r>
        <w:t xml:space="preserve">Mr. </w:t>
      </w:r>
      <w:r w:rsidR="001B7E7F">
        <w:t>Mark Schlegel</w:t>
      </w:r>
    </w:p>
    <w:p w14:paraId="650C0F5C" w14:textId="765D0FD9" w:rsidR="001B7E7F" w:rsidRDefault="001B7E7F" w:rsidP="001B7E7F">
      <w:pPr>
        <w:pStyle w:val="Default"/>
        <w:ind w:left="990"/>
      </w:pPr>
      <w:r>
        <w:t xml:space="preserve">Attorney-Advisory </w:t>
      </w:r>
    </w:p>
    <w:p w14:paraId="7054437A" w14:textId="57A6277A" w:rsidR="0028535F" w:rsidRDefault="0028535F" w:rsidP="001B7E7F">
      <w:pPr>
        <w:pStyle w:val="NoSpacing"/>
        <w:ind w:left="990"/>
        <w:rPr>
          <w:rFonts w:cs="Times New Roman"/>
        </w:rPr>
      </w:pPr>
      <w:r>
        <w:rPr>
          <w:rFonts w:cs="Times New Roman"/>
        </w:rPr>
        <w:t>Financial Stability Oversight Council</w:t>
      </w:r>
    </w:p>
    <w:p w14:paraId="1C45557B" w14:textId="5BF3763E" w:rsidR="0028535F" w:rsidRDefault="0028535F" w:rsidP="004039CF">
      <w:pPr>
        <w:pStyle w:val="NoSpacing"/>
        <w:ind w:left="270" w:firstLine="720"/>
        <w:rPr>
          <w:rFonts w:cs="Times New Roman"/>
        </w:rPr>
      </w:pPr>
      <w:r>
        <w:rPr>
          <w:rFonts w:cs="Times New Roman"/>
        </w:rPr>
        <w:t>1500 Pennsylvania Ave., NW</w:t>
      </w:r>
    </w:p>
    <w:p w14:paraId="260BFCAB" w14:textId="47945214" w:rsidR="0028535F" w:rsidRDefault="0028535F" w:rsidP="004039CF">
      <w:pPr>
        <w:pStyle w:val="NoSpacing"/>
        <w:ind w:left="270" w:firstLine="720"/>
        <w:rPr>
          <w:rFonts w:cs="Times New Roman"/>
        </w:rPr>
      </w:pPr>
      <w:r>
        <w:rPr>
          <w:rFonts w:cs="Times New Roman"/>
        </w:rPr>
        <w:t>Washington, DC 20220</w:t>
      </w:r>
    </w:p>
    <w:p w14:paraId="201D916D" w14:textId="2960B301" w:rsidR="008E3D14" w:rsidRDefault="008E3D14" w:rsidP="004039CF">
      <w:pPr>
        <w:pStyle w:val="NoSpacing"/>
        <w:ind w:left="270" w:firstLine="720"/>
        <w:rPr>
          <w:rFonts w:cs="Times New Roman"/>
        </w:rPr>
      </w:pPr>
    </w:p>
    <w:p w14:paraId="7DBFEDE0" w14:textId="11B62A48" w:rsidR="008E3D14" w:rsidRDefault="008E3D14" w:rsidP="008E3D14">
      <w:pPr>
        <w:pStyle w:val="NoSpacing"/>
        <w:tabs>
          <w:tab w:val="left" w:pos="990"/>
        </w:tabs>
        <w:ind w:left="990"/>
        <w:rPr>
          <w:rFonts w:cs="Times New Roman"/>
        </w:rPr>
      </w:pPr>
      <w:r>
        <w:rPr>
          <w:rFonts w:cs="Times New Roman"/>
        </w:rPr>
        <w:t>Re: Authority to Require Supervision and regulation of Certain Nonbank Financial Companies (RIN 4030-ZA00)</w:t>
      </w:r>
    </w:p>
    <w:p w14:paraId="5E9DE6E0" w14:textId="6AAF1203" w:rsidR="0028535F" w:rsidRDefault="0028535F" w:rsidP="004039CF">
      <w:pPr>
        <w:pStyle w:val="NoSpacing"/>
        <w:ind w:left="270" w:firstLine="720"/>
        <w:rPr>
          <w:rFonts w:cs="Times New Roman"/>
        </w:rPr>
      </w:pPr>
    </w:p>
    <w:p w14:paraId="5952F9D8" w14:textId="71C7755E" w:rsidR="0028535F" w:rsidRDefault="0028535F" w:rsidP="004039CF">
      <w:pPr>
        <w:pStyle w:val="NoSpacing"/>
        <w:ind w:left="270" w:firstLine="720"/>
        <w:rPr>
          <w:rFonts w:cs="Times New Roman"/>
        </w:rPr>
      </w:pPr>
      <w:r>
        <w:rPr>
          <w:rFonts w:cs="Times New Roman"/>
        </w:rPr>
        <w:t xml:space="preserve">Dear Mr. </w:t>
      </w:r>
      <w:r w:rsidR="001B7E7F">
        <w:rPr>
          <w:rFonts w:cs="Times New Roman"/>
        </w:rPr>
        <w:t>Schlegel</w:t>
      </w:r>
      <w:r>
        <w:rPr>
          <w:rFonts w:cs="Times New Roman"/>
        </w:rPr>
        <w:t xml:space="preserve">, </w:t>
      </w:r>
    </w:p>
    <w:p w14:paraId="7BAB9F4D" w14:textId="020B3E32" w:rsidR="0028535F" w:rsidRDefault="0028535F" w:rsidP="004039CF">
      <w:pPr>
        <w:pStyle w:val="NoSpacing"/>
        <w:ind w:left="270" w:firstLine="720"/>
        <w:rPr>
          <w:rFonts w:cs="Times New Roman"/>
        </w:rPr>
      </w:pPr>
    </w:p>
    <w:p w14:paraId="25603DD0" w14:textId="000A0445" w:rsidR="00AB5297" w:rsidRDefault="0028535F" w:rsidP="00EF3DF4">
      <w:pPr>
        <w:pStyle w:val="NoSpacing"/>
        <w:ind w:left="990"/>
        <w:rPr>
          <w:rFonts w:cs="Times New Roman"/>
        </w:rPr>
      </w:pPr>
      <w:r>
        <w:rPr>
          <w:rFonts w:cs="Times New Roman"/>
        </w:rPr>
        <w:t xml:space="preserve">I write </w:t>
      </w:r>
      <w:r w:rsidR="00450629">
        <w:rPr>
          <w:rFonts w:cs="Times New Roman"/>
        </w:rPr>
        <w:t xml:space="preserve">to applaud </w:t>
      </w:r>
      <w:r w:rsidR="008E3D14">
        <w:rPr>
          <w:rFonts w:cs="Times New Roman"/>
        </w:rPr>
        <w:t xml:space="preserve">the proposed interpretive guidance issued by the Council on March 13, 2019 as a step in the right direction for nonbank financial institutions. My hope is that after comments are reviewed </w:t>
      </w:r>
      <w:r w:rsidR="00450629">
        <w:rPr>
          <w:rFonts w:cs="Times New Roman"/>
        </w:rPr>
        <w:t xml:space="preserve">and </w:t>
      </w:r>
      <w:r w:rsidR="00652031">
        <w:rPr>
          <w:rFonts w:cs="Times New Roman"/>
        </w:rPr>
        <w:t>studied</w:t>
      </w:r>
      <w:r w:rsidR="00450629">
        <w:rPr>
          <w:rFonts w:cs="Times New Roman"/>
        </w:rPr>
        <w:t xml:space="preserve">, </w:t>
      </w:r>
      <w:r w:rsidR="00652031">
        <w:rPr>
          <w:rFonts w:cs="Times New Roman"/>
        </w:rPr>
        <w:t xml:space="preserve">the Council and its staff will consider avenues beyond guidance alone that would </w:t>
      </w:r>
      <w:r w:rsidR="005B34A2">
        <w:rPr>
          <w:rFonts w:cs="Times New Roman"/>
        </w:rPr>
        <w:t>contribute to greater</w:t>
      </w:r>
      <w:r w:rsidR="00652031">
        <w:rPr>
          <w:rFonts w:cs="Times New Roman"/>
        </w:rPr>
        <w:t xml:space="preserve"> certainty for nonbank financial institutions. </w:t>
      </w:r>
      <w:r w:rsidR="0016325B">
        <w:rPr>
          <w:rFonts w:cs="Times New Roman"/>
        </w:rPr>
        <w:t xml:space="preserve">I </w:t>
      </w:r>
      <w:r w:rsidR="00E861B4">
        <w:rPr>
          <w:rFonts w:cs="Times New Roman"/>
        </w:rPr>
        <w:t>am also interested in pr</w:t>
      </w:r>
      <w:r w:rsidR="005B34A2">
        <w:rPr>
          <w:rFonts w:cs="Times New Roman"/>
        </w:rPr>
        <w:t>esenting</w:t>
      </w:r>
      <w:r w:rsidR="00E861B4">
        <w:rPr>
          <w:rFonts w:cs="Times New Roman"/>
        </w:rPr>
        <w:t xml:space="preserve"> constructive input that would provide clarity for nonbank institutions</w:t>
      </w:r>
      <w:r w:rsidR="005B34A2">
        <w:rPr>
          <w:rFonts w:cs="Times New Roman"/>
        </w:rPr>
        <w:t xml:space="preserve"> </w:t>
      </w:r>
      <w:r w:rsidR="00AB5297">
        <w:rPr>
          <w:rFonts w:cs="Times New Roman"/>
        </w:rPr>
        <w:t>and continuing</w:t>
      </w:r>
      <w:r w:rsidR="00F709B0">
        <w:rPr>
          <w:rFonts w:cs="Times New Roman"/>
        </w:rPr>
        <w:t xml:space="preserve"> the</w:t>
      </w:r>
      <w:r w:rsidR="00AB5297">
        <w:rPr>
          <w:rFonts w:cs="Times New Roman"/>
        </w:rPr>
        <w:t xml:space="preserve"> dialog to address perspectives ATR values in a finalized version.</w:t>
      </w:r>
    </w:p>
    <w:p w14:paraId="3CE1A505" w14:textId="5D79D153" w:rsidR="00AB5297" w:rsidRDefault="00AB5297" w:rsidP="00EF3DF4">
      <w:pPr>
        <w:pStyle w:val="NoSpacing"/>
        <w:ind w:left="990"/>
        <w:rPr>
          <w:rFonts w:cs="Times New Roman"/>
        </w:rPr>
      </w:pPr>
      <w:r>
        <w:rPr>
          <w:rFonts w:cs="Times New Roman"/>
        </w:rPr>
        <w:t xml:space="preserve"> </w:t>
      </w:r>
    </w:p>
    <w:p w14:paraId="4F408AC1" w14:textId="011659BB" w:rsidR="00FC2D81" w:rsidRDefault="00FC2D81" w:rsidP="00EF3DF4">
      <w:pPr>
        <w:pStyle w:val="NoSpacing"/>
        <w:ind w:left="990"/>
        <w:rPr>
          <w:rFonts w:cs="Times New Roman"/>
        </w:rPr>
      </w:pPr>
      <w:r>
        <w:rPr>
          <w:rFonts w:cs="Times New Roman"/>
        </w:rPr>
        <w:t>The Financial Stability Oversight Council was established by Dodd-Frank with the purpose of harmonizing communication and oversight between multiple federal agencies, state-based regulatory bodies and an independent insurance expert and is chaired by the Treasury Secretary. The Council has the ability to designate certain bank holding companies, non-bank institutions and financial market utilities as systemically important financial institutions. The two most prominent factors for SIFI designation include an institution’s leverage and interconnectedness with other SIFI institutions.</w:t>
      </w:r>
    </w:p>
    <w:p w14:paraId="517D1A19" w14:textId="475F0FA5" w:rsidR="00FC2D81" w:rsidRDefault="00FC2D81" w:rsidP="00EF3DF4">
      <w:pPr>
        <w:pStyle w:val="NoSpacing"/>
        <w:ind w:left="990"/>
        <w:rPr>
          <w:rFonts w:cs="Times New Roman"/>
        </w:rPr>
      </w:pPr>
    </w:p>
    <w:p w14:paraId="5C910AEB" w14:textId="60E182EC" w:rsidR="00BF3C00" w:rsidRDefault="00015C10" w:rsidP="00EF3DF4">
      <w:pPr>
        <w:pStyle w:val="NoSpacing"/>
        <w:ind w:left="990"/>
        <w:rPr>
          <w:rFonts w:cs="Times New Roman"/>
        </w:rPr>
      </w:pPr>
      <w:r>
        <w:rPr>
          <w:rFonts w:cs="Times New Roman"/>
        </w:rPr>
        <w:t>With the heightened oversight associated with a SIFI designation</w:t>
      </w:r>
      <w:r w:rsidR="00551136">
        <w:rPr>
          <w:rFonts w:cs="Times New Roman"/>
        </w:rPr>
        <w:t xml:space="preserve">, </w:t>
      </w:r>
      <w:r w:rsidR="00BF3C00">
        <w:rPr>
          <w:rFonts w:cs="Times New Roman"/>
        </w:rPr>
        <w:t xml:space="preserve">I applaud two important steps the Council has taken to provide additional clarity for </w:t>
      </w:r>
      <w:r w:rsidR="00BD503E">
        <w:rPr>
          <w:rFonts w:cs="Times New Roman"/>
        </w:rPr>
        <w:t xml:space="preserve">nonbank financial institutions </w:t>
      </w:r>
      <w:r w:rsidR="006875A3">
        <w:rPr>
          <w:rFonts w:cs="Times New Roman"/>
        </w:rPr>
        <w:t xml:space="preserve">and kindly offer </w:t>
      </w:r>
      <w:r w:rsidR="006A170F">
        <w:rPr>
          <w:rFonts w:cs="Times New Roman"/>
        </w:rPr>
        <w:t>t</w:t>
      </w:r>
      <w:r w:rsidR="00AB71DB">
        <w:rPr>
          <w:rFonts w:cs="Times New Roman"/>
        </w:rPr>
        <w:t>hree</w:t>
      </w:r>
      <w:r w:rsidR="006A170F">
        <w:rPr>
          <w:rFonts w:cs="Times New Roman"/>
        </w:rPr>
        <w:t xml:space="preserve"> additional suggestions for consideration in </w:t>
      </w:r>
    </w:p>
    <w:p w14:paraId="35EDBCAA" w14:textId="3FFEE76F" w:rsidR="00364F2D" w:rsidRDefault="00551136" w:rsidP="00EF3DF4">
      <w:pPr>
        <w:pStyle w:val="NoSpacing"/>
        <w:ind w:left="990"/>
        <w:rPr>
          <w:rFonts w:cs="Times New Roman"/>
        </w:rPr>
      </w:pPr>
      <w:r>
        <w:rPr>
          <w:rFonts w:cs="Times New Roman"/>
        </w:rPr>
        <w:t xml:space="preserve">a finalized </w:t>
      </w:r>
      <w:r w:rsidR="006A170F">
        <w:rPr>
          <w:rFonts w:cs="Times New Roman"/>
        </w:rPr>
        <w:t xml:space="preserve">package. </w:t>
      </w:r>
      <w:r w:rsidR="006008D6">
        <w:rPr>
          <w:rFonts w:cs="Times New Roman"/>
        </w:rPr>
        <w:t xml:space="preserve">I believe it is important to consider the current regulations that were designed </w:t>
      </w:r>
      <w:r w:rsidR="00F709B0">
        <w:rPr>
          <w:rFonts w:cs="Times New Roman"/>
        </w:rPr>
        <w:t xml:space="preserve">for oversight purposes of certain </w:t>
      </w:r>
      <w:r w:rsidR="006008D6">
        <w:rPr>
          <w:rFonts w:cs="Times New Roman"/>
        </w:rPr>
        <w:t>financial in</w:t>
      </w:r>
      <w:r w:rsidR="00DB503C">
        <w:rPr>
          <w:rFonts w:cs="Times New Roman"/>
        </w:rPr>
        <w:t>stitutions</w:t>
      </w:r>
      <w:r w:rsidR="006008D6">
        <w:rPr>
          <w:rFonts w:cs="Times New Roman"/>
        </w:rPr>
        <w:t xml:space="preserve"> like bank holding companies instead of nonbank institutions</w:t>
      </w:r>
      <w:r w:rsidR="00973E28">
        <w:rPr>
          <w:rFonts w:cs="Times New Roman"/>
        </w:rPr>
        <w:t>,</w:t>
      </w:r>
      <w:r w:rsidR="006008D6">
        <w:rPr>
          <w:rFonts w:cs="Times New Roman"/>
        </w:rPr>
        <w:t xml:space="preserve"> </w:t>
      </w:r>
      <w:r w:rsidR="00CE03DA">
        <w:rPr>
          <w:rFonts w:cs="Times New Roman"/>
        </w:rPr>
        <w:t xml:space="preserve">and </w:t>
      </w:r>
      <w:r w:rsidR="006008D6">
        <w:rPr>
          <w:rFonts w:cs="Times New Roman"/>
        </w:rPr>
        <w:t xml:space="preserve">the affect </w:t>
      </w:r>
      <w:r w:rsidR="00973E28">
        <w:rPr>
          <w:rFonts w:cs="Times New Roman"/>
        </w:rPr>
        <w:t>these regulations</w:t>
      </w:r>
      <w:r w:rsidR="00CE03DA">
        <w:rPr>
          <w:rFonts w:cs="Times New Roman"/>
        </w:rPr>
        <w:t xml:space="preserve"> have </w:t>
      </w:r>
      <w:r w:rsidR="004B1D8C">
        <w:rPr>
          <w:rFonts w:cs="Times New Roman"/>
        </w:rPr>
        <w:t>on institutions i</w:t>
      </w:r>
      <w:r w:rsidR="0014482D">
        <w:rPr>
          <w:rFonts w:cs="Times New Roman"/>
        </w:rPr>
        <w:t xml:space="preserve">n terms of compliance. </w:t>
      </w:r>
      <w:r w:rsidR="004B1D8C">
        <w:rPr>
          <w:rFonts w:cs="Times New Roman"/>
        </w:rPr>
        <w:t xml:space="preserve">For example, AIG </w:t>
      </w:r>
      <w:r w:rsidR="00090327">
        <w:rPr>
          <w:rFonts w:cs="Times New Roman"/>
        </w:rPr>
        <w:t xml:space="preserve">- </w:t>
      </w:r>
      <w:r w:rsidR="00EF3DF4">
        <w:rPr>
          <w:rFonts w:cs="Times New Roman"/>
        </w:rPr>
        <w:t>a</w:t>
      </w:r>
      <w:r w:rsidR="004B1D8C">
        <w:rPr>
          <w:rFonts w:cs="Times New Roman"/>
        </w:rPr>
        <w:t xml:space="preserve"> nonbank designated</w:t>
      </w:r>
      <w:r w:rsidR="00F709B0">
        <w:rPr>
          <w:rFonts w:cs="Times New Roman"/>
        </w:rPr>
        <w:t xml:space="preserve"> </w:t>
      </w:r>
      <w:r w:rsidR="004B1D8C">
        <w:rPr>
          <w:rFonts w:cs="Times New Roman"/>
        </w:rPr>
        <w:t>SIFI - w</w:t>
      </w:r>
      <w:r w:rsidR="00EF3DF4">
        <w:rPr>
          <w:rFonts w:cs="Times New Roman"/>
        </w:rPr>
        <w:t>as</w:t>
      </w:r>
      <w:r w:rsidR="00973E28">
        <w:rPr>
          <w:rFonts w:cs="Times New Roman"/>
        </w:rPr>
        <w:t xml:space="preserve"> </w:t>
      </w:r>
      <w:r w:rsidR="004B1D8C">
        <w:rPr>
          <w:rFonts w:cs="Times New Roman"/>
        </w:rPr>
        <w:t xml:space="preserve">subject to the Federal Reserve’s Large Institution Supervision Coordinating Committee </w:t>
      </w:r>
      <w:r w:rsidR="00922670">
        <w:rPr>
          <w:rFonts w:cs="Times New Roman"/>
        </w:rPr>
        <w:t>and underwent “stress test[</w:t>
      </w:r>
      <w:proofErr w:type="spellStart"/>
      <w:r w:rsidR="00922670">
        <w:rPr>
          <w:rFonts w:cs="Times New Roman"/>
        </w:rPr>
        <w:t>ing</w:t>
      </w:r>
      <w:proofErr w:type="spellEnd"/>
      <w:r w:rsidR="00922670">
        <w:rPr>
          <w:rFonts w:cs="Times New Roman"/>
        </w:rPr>
        <w:t>]”, or the Comprehensive Capital Analysis and Review</w:t>
      </w:r>
      <w:r w:rsidR="000A5D5F">
        <w:rPr>
          <w:rFonts w:cs="Times New Roman"/>
        </w:rPr>
        <w:t xml:space="preserve">, </w:t>
      </w:r>
      <w:r w:rsidR="001B1379">
        <w:rPr>
          <w:rFonts w:cs="Times New Roman"/>
        </w:rPr>
        <w:t>a regulatory framework more closely associated with large bank holding companies.</w:t>
      </w:r>
      <w:r w:rsidR="001B1379">
        <w:rPr>
          <w:rStyle w:val="FootnoteReference"/>
          <w:rFonts w:cs="Times New Roman"/>
        </w:rPr>
        <w:footnoteReference w:id="1"/>
      </w:r>
      <w:r w:rsidR="001B1379">
        <w:rPr>
          <w:rFonts w:cs="Times New Roman"/>
        </w:rPr>
        <w:t xml:space="preserve"> </w:t>
      </w:r>
      <w:r w:rsidR="00364F2D">
        <w:rPr>
          <w:rFonts w:cs="Times New Roman"/>
        </w:rPr>
        <w:t xml:space="preserve">It would be helpful if </w:t>
      </w:r>
      <w:r w:rsidR="00281360">
        <w:rPr>
          <w:rFonts w:cs="Times New Roman"/>
        </w:rPr>
        <w:t>FSOC and the regulatory staff supporting the Council’s members discuss</w:t>
      </w:r>
      <w:r w:rsidR="00F709B0">
        <w:rPr>
          <w:rFonts w:cs="Times New Roman"/>
        </w:rPr>
        <w:t>ed</w:t>
      </w:r>
      <w:r w:rsidR="00281360">
        <w:rPr>
          <w:rFonts w:cs="Times New Roman"/>
        </w:rPr>
        <w:t xml:space="preserve"> what regulations already exist for these nonbank institutions </w:t>
      </w:r>
      <w:r w:rsidR="001C5D72">
        <w:rPr>
          <w:rFonts w:cs="Times New Roman"/>
        </w:rPr>
        <w:t xml:space="preserve">to comply with, </w:t>
      </w:r>
      <w:r w:rsidR="0014482D">
        <w:rPr>
          <w:rFonts w:cs="Times New Roman"/>
        </w:rPr>
        <w:t xml:space="preserve">and </w:t>
      </w:r>
      <w:r w:rsidR="00F709B0">
        <w:rPr>
          <w:rFonts w:cs="Times New Roman"/>
        </w:rPr>
        <w:t xml:space="preserve">which, if any, </w:t>
      </w:r>
      <w:r w:rsidR="001C5D72">
        <w:rPr>
          <w:rFonts w:cs="Times New Roman"/>
        </w:rPr>
        <w:t xml:space="preserve">additional regulations these institutions </w:t>
      </w:r>
      <w:r w:rsidR="001C5D72">
        <w:rPr>
          <w:rFonts w:cs="Times New Roman"/>
        </w:rPr>
        <w:lastRenderedPageBreak/>
        <w:t xml:space="preserve">would be subject to as a SIFI. </w:t>
      </w:r>
      <w:r w:rsidR="00364F2D">
        <w:rPr>
          <w:rFonts w:cs="Times New Roman"/>
        </w:rPr>
        <w:t xml:space="preserve">These discussions should also take into consideration the interconnectedness of the nonbank institution to other financial institutions. </w:t>
      </w:r>
    </w:p>
    <w:p w14:paraId="4C237D34" w14:textId="08871E25" w:rsidR="00551136" w:rsidRDefault="00551136" w:rsidP="00EF3DF4">
      <w:pPr>
        <w:pStyle w:val="NoSpacing"/>
        <w:ind w:left="990"/>
        <w:rPr>
          <w:rFonts w:cs="Times New Roman"/>
        </w:rPr>
      </w:pPr>
    </w:p>
    <w:p w14:paraId="429C1449" w14:textId="2931B6D2" w:rsidR="00551136" w:rsidRDefault="00551136" w:rsidP="00EF3DF4">
      <w:pPr>
        <w:pStyle w:val="NoSpacing"/>
        <w:ind w:left="990"/>
        <w:rPr>
          <w:rFonts w:cs="Times New Roman"/>
        </w:rPr>
      </w:pPr>
      <w:r>
        <w:rPr>
          <w:rFonts w:cs="Times New Roman"/>
        </w:rPr>
        <w:t xml:space="preserve">I am supportive </w:t>
      </w:r>
      <w:r w:rsidR="00AB71DB">
        <w:rPr>
          <w:rFonts w:cs="Times New Roman"/>
        </w:rPr>
        <w:t xml:space="preserve">of and welcome </w:t>
      </w:r>
      <w:r>
        <w:rPr>
          <w:rFonts w:cs="Times New Roman"/>
        </w:rPr>
        <w:t xml:space="preserve">the addition of a cost-benefit analysis </w:t>
      </w:r>
      <w:r w:rsidR="00AB71DB">
        <w:rPr>
          <w:rFonts w:cs="Times New Roman"/>
        </w:rPr>
        <w:t xml:space="preserve">in the current proposal. </w:t>
      </w:r>
      <w:r w:rsidR="00F709B0">
        <w:rPr>
          <w:rFonts w:cs="Times New Roman"/>
        </w:rPr>
        <w:t>I</w:t>
      </w:r>
      <w:r w:rsidR="00AB71DB">
        <w:rPr>
          <w:rFonts w:cs="Times New Roman"/>
        </w:rPr>
        <w:t xml:space="preserve">t would be helpful if FSOC considered incorporating two measures to be included in the cost-benefit analysis. In addition to the costs associated with </w:t>
      </w:r>
      <w:r w:rsidR="00F709B0">
        <w:rPr>
          <w:rFonts w:cs="Times New Roman"/>
        </w:rPr>
        <w:t xml:space="preserve">compliance through the institution’s primary regulator </w:t>
      </w:r>
      <w:r w:rsidR="00AB71DB">
        <w:rPr>
          <w:rFonts w:cs="Times New Roman"/>
        </w:rPr>
        <w:t>and enhanced regulation resulting from a SIFI designat</w:t>
      </w:r>
      <w:r w:rsidR="00F709B0">
        <w:rPr>
          <w:rFonts w:cs="Times New Roman"/>
        </w:rPr>
        <w:t>ion</w:t>
      </w:r>
      <w:r w:rsidR="00AB71DB">
        <w:rPr>
          <w:rFonts w:cs="Times New Roman"/>
        </w:rPr>
        <w:t xml:space="preserve">, </w:t>
      </w:r>
      <w:r w:rsidR="00090327">
        <w:rPr>
          <w:rFonts w:cs="Times New Roman"/>
        </w:rPr>
        <w:t xml:space="preserve">I believe it would be constructive to also consider the indirect costs associated with designation. These indirect costs include </w:t>
      </w:r>
      <w:r w:rsidR="00F709B0">
        <w:rPr>
          <w:rFonts w:cs="Times New Roman"/>
        </w:rPr>
        <w:t xml:space="preserve">loss of </w:t>
      </w:r>
      <w:r w:rsidR="0014482D">
        <w:rPr>
          <w:rFonts w:cs="Times New Roman"/>
        </w:rPr>
        <w:t xml:space="preserve">shareholder </w:t>
      </w:r>
      <w:r w:rsidR="00F709B0">
        <w:rPr>
          <w:rFonts w:cs="Times New Roman"/>
        </w:rPr>
        <w:t>value</w:t>
      </w:r>
      <w:r w:rsidR="0014482D">
        <w:rPr>
          <w:rFonts w:cs="Times New Roman"/>
        </w:rPr>
        <w:t xml:space="preserve">, costs associated with financial products available to </w:t>
      </w:r>
      <w:r w:rsidR="0014482D">
        <w:rPr>
          <w:rFonts w:cs="Times New Roman"/>
        </w:rPr>
        <w:t>customers</w:t>
      </w:r>
      <w:r w:rsidR="0014482D">
        <w:rPr>
          <w:rFonts w:cs="Times New Roman"/>
        </w:rPr>
        <w:t xml:space="preserve"> and </w:t>
      </w:r>
      <w:r w:rsidR="00F709B0">
        <w:rPr>
          <w:rFonts w:cs="Times New Roman"/>
        </w:rPr>
        <w:t xml:space="preserve">the </w:t>
      </w:r>
      <w:r w:rsidR="00090327">
        <w:rPr>
          <w:rFonts w:cs="Times New Roman"/>
        </w:rPr>
        <w:t xml:space="preserve">loss of competition </w:t>
      </w:r>
      <w:r w:rsidR="00090327">
        <w:rPr>
          <w:rFonts w:cs="Times New Roman"/>
        </w:rPr>
        <w:t>in the marketplace</w:t>
      </w:r>
      <w:r w:rsidR="0014482D">
        <w:rPr>
          <w:rFonts w:cs="Times New Roman"/>
        </w:rPr>
        <w:t xml:space="preserve"> </w:t>
      </w:r>
      <w:r w:rsidR="0014482D">
        <w:rPr>
          <w:rFonts w:cs="Times New Roman"/>
        </w:rPr>
        <w:t xml:space="preserve">between competing institutions and </w:t>
      </w:r>
      <w:r w:rsidR="00F709B0">
        <w:rPr>
          <w:rFonts w:cs="Times New Roman"/>
        </w:rPr>
        <w:t xml:space="preserve">the </w:t>
      </w:r>
      <w:r w:rsidR="0014482D">
        <w:rPr>
          <w:rFonts w:cs="Times New Roman"/>
        </w:rPr>
        <w:t>advantage those not subject to SIFI oversight would have over institutions that are designated</w:t>
      </w:r>
      <w:r w:rsidR="0014482D">
        <w:rPr>
          <w:rFonts w:cs="Times New Roman"/>
        </w:rPr>
        <w:t xml:space="preserve">. </w:t>
      </w:r>
      <w:r w:rsidR="00592598">
        <w:rPr>
          <w:rFonts w:cs="Times New Roman"/>
        </w:rPr>
        <w:t xml:space="preserve">By considering these indirect costs, the Council </w:t>
      </w:r>
      <w:r w:rsidR="00DF5354">
        <w:rPr>
          <w:rFonts w:cs="Times New Roman"/>
        </w:rPr>
        <w:t xml:space="preserve">could </w:t>
      </w:r>
      <w:r w:rsidR="000955E5">
        <w:rPr>
          <w:rFonts w:cs="Times New Roman"/>
        </w:rPr>
        <w:t xml:space="preserve">be in a better position to move forward with a designation or not. </w:t>
      </w:r>
    </w:p>
    <w:p w14:paraId="77B2F974" w14:textId="39FD8E15" w:rsidR="004039CF" w:rsidRDefault="004039CF" w:rsidP="00EF3DF4">
      <w:pPr>
        <w:pStyle w:val="NoSpacing"/>
        <w:ind w:left="270" w:firstLine="720"/>
        <w:rPr>
          <w:rFonts w:cs="Times New Roman"/>
        </w:rPr>
      </w:pPr>
    </w:p>
    <w:p w14:paraId="1578C13F" w14:textId="41FA653D" w:rsidR="001B3A97" w:rsidRDefault="00925227" w:rsidP="00EF3DF4">
      <w:pPr>
        <w:pStyle w:val="NoSpacing"/>
        <w:ind w:left="990"/>
        <w:rPr>
          <w:rFonts w:eastAsia="Times New Roman" w:cs="Times New Roman"/>
          <w:color w:val="000000" w:themeColor="text1"/>
          <w:shd w:val="clear" w:color="auto" w:fill="FFFFFF"/>
        </w:rPr>
      </w:pPr>
      <w:r>
        <w:rPr>
          <w:rFonts w:cs="Times New Roman"/>
        </w:rPr>
        <w:t xml:space="preserve">The second aspect of the proposal that deserves praise is the requirement that </w:t>
      </w:r>
      <w:r w:rsidR="001B3A97">
        <w:rPr>
          <w:rFonts w:cs="Times New Roman"/>
        </w:rPr>
        <w:t xml:space="preserve">the </w:t>
      </w:r>
      <w:r>
        <w:rPr>
          <w:rFonts w:cs="Times New Roman"/>
        </w:rPr>
        <w:t>Council must</w:t>
      </w:r>
      <w:r w:rsidR="001B3A97">
        <w:rPr>
          <w:rFonts w:cs="Times New Roman"/>
        </w:rPr>
        <w:t xml:space="preserve"> first</w:t>
      </w:r>
      <w:r>
        <w:rPr>
          <w:rFonts w:cs="Times New Roman"/>
        </w:rPr>
        <w:t xml:space="preserve"> consult with the nonbank institution’s primary regulator throughout the designation </w:t>
      </w:r>
      <w:r w:rsidR="001B3A97">
        <w:rPr>
          <w:rFonts w:cs="Times New Roman"/>
        </w:rPr>
        <w:t xml:space="preserve">process. More importantly, the proposal allows the </w:t>
      </w:r>
      <w:r w:rsidR="001B3A97" w:rsidRPr="001B3A97">
        <w:rPr>
          <w:rFonts w:eastAsia="Times New Roman" w:cs="Times New Roman"/>
          <w:color w:val="000000" w:themeColor="text1"/>
          <w:shd w:val="clear" w:color="auto" w:fill="FFFFFF"/>
        </w:rPr>
        <w:t>lead regulator to propose a different oversight approach and allow</w:t>
      </w:r>
      <w:r w:rsidR="001B3A97">
        <w:rPr>
          <w:rFonts w:eastAsia="Times New Roman" w:cs="Times New Roman"/>
          <w:color w:val="000000" w:themeColor="text1"/>
          <w:shd w:val="clear" w:color="auto" w:fill="FFFFFF"/>
        </w:rPr>
        <w:t>s</w:t>
      </w:r>
      <w:r w:rsidR="001B3A97" w:rsidRPr="001B3A97">
        <w:rPr>
          <w:rFonts w:eastAsia="Times New Roman" w:cs="Times New Roman"/>
          <w:color w:val="000000" w:themeColor="text1"/>
          <w:shd w:val="clear" w:color="auto" w:fill="FFFFFF"/>
        </w:rPr>
        <w:t xml:space="preserve"> the nonbank institution to </w:t>
      </w:r>
      <w:r w:rsidR="002F4817">
        <w:rPr>
          <w:rFonts w:eastAsia="Times New Roman" w:cs="Times New Roman"/>
          <w:color w:val="000000" w:themeColor="text1"/>
          <w:shd w:val="clear" w:color="auto" w:fill="FFFFFF"/>
        </w:rPr>
        <w:t>offer</w:t>
      </w:r>
      <w:r w:rsidR="001B3A97" w:rsidRPr="001B3A97">
        <w:rPr>
          <w:rFonts w:eastAsia="Times New Roman" w:cs="Times New Roman"/>
          <w:color w:val="000000" w:themeColor="text1"/>
          <w:shd w:val="clear" w:color="auto" w:fill="FFFFFF"/>
        </w:rPr>
        <w:t xml:space="preserve"> its own solution for the Council to consider. If the Council is not satisfied with </w:t>
      </w:r>
      <w:r w:rsidR="001B3A97">
        <w:rPr>
          <w:rFonts w:eastAsia="Times New Roman" w:cs="Times New Roman"/>
          <w:color w:val="000000" w:themeColor="text1"/>
          <w:shd w:val="clear" w:color="auto" w:fill="FFFFFF"/>
        </w:rPr>
        <w:t xml:space="preserve">solutions provided by the primary regulator and institution itself, </w:t>
      </w:r>
      <w:r w:rsidR="001B3A97" w:rsidRPr="001B3A97">
        <w:rPr>
          <w:rFonts w:eastAsia="Times New Roman" w:cs="Times New Roman"/>
          <w:color w:val="000000" w:themeColor="text1"/>
          <w:shd w:val="clear" w:color="auto" w:fill="FFFFFF"/>
        </w:rPr>
        <w:t>only then can the Council designate the institution as a SIFI</w:t>
      </w:r>
      <w:r w:rsidR="001B3A97">
        <w:rPr>
          <w:rFonts w:eastAsia="Times New Roman" w:cs="Times New Roman"/>
          <w:color w:val="000000" w:themeColor="text1"/>
          <w:shd w:val="clear" w:color="auto" w:fill="FFFFFF"/>
        </w:rPr>
        <w:t xml:space="preserve">. This approach </w:t>
      </w:r>
      <w:r w:rsidR="001B3A97" w:rsidRPr="001B3A97">
        <w:rPr>
          <w:rFonts w:eastAsia="Times New Roman" w:cs="Times New Roman"/>
          <w:color w:val="000000" w:themeColor="text1"/>
          <w:shd w:val="clear" w:color="auto" w:fill="FFFFFF"/>
        </w:rPr>
        <w:t>reserv</w:t>
      </w:r>
      <w:r w:rsidR="001B3A97">
        <w:rPr>
          <w:rFonts w:eastAsia="Times New Roman" w:cs="Times New Roman"/>
          <w:color w:val="000000" w:themeColor="text1"/>
          <w:shd w:val="clear" w:color="auto" w:fill="FFFFFF"/>
        </w:rPr>
        <w:t>es</w:t>
      </w:r>
      <w:r w:rsidR="001B3A97" w:rsidRPr="001B3A97">
        <w:rPr>
          <w:rFonts w:eastAsia="Times New Roman" w:cs="Times New Roman"/>
          <w:color w:val="000000" w:themeColor="text1"/>
          <w:shd w:val="clear" w:color="auto" w:fill="FFFFFF"/>
        </w:rPr>
        <w:t xml:space="preserve"> the SIFI designation as a last resort option after other options for correcting the institution</w:t>
      </w:r>
      <w:r w:rsidR="002F4817">
        <w:rPr>
          <w:rFonts w:eastAsia="Times New Roman" w:cs="Times New Roman"/>
          <w:color w:val="000000" w:themeColor="text1"/>
          <w:shd w:val="clear" w:color="auto" w:fill="FFFFFF"/>
        </w:rPr>
        <w:t>’</w:t>
      </w:r>
      <w:r w:rsidR="001B3A97" w:rsidRPr="001B3A97">
        <w:rPr>
          <w:rFonts w:eastAsia="Times New Roman" w:cs="Times New Roman"/>
          <w:color w:val="000000" w:themeColor="text1"/>
          <w:shd w:val="clear" w:color="auto" w:fill="FFFFFF"/>
        </w:rPr>
        <w:t>s best practices are exhausted. </w:t>
      </w:r>
      <w:r w:rsidR="001B3A97">
        <w:rPr>
          <w:rFonts w:eastAsia="Times New Roman" w:cs="Times New Roman"/>
          <w:color w:val="000000" w:themeColor="text1"/>
          <w:shd w:val="clear" w:color="auto" w:fill="FFFFFF"/>
        </w:rPr>
        <w:t>Similarly, Senator Rounds (R-S.D.) has introduced legislation in the 115</w:t>
      </w:r>
      <w:r w:rsidR="001B3A97" w:rsidRPr="001B3A97">
        <w:rPr>
          <w:rFonts w:eastAsia="Times New Roman" w:cs="Times New Roman"/>
          <w:color w:val="000000" w:themeColor="text1"/>
          <w:shd w:val="clear" w:color="auto" w:fill="FFFFFF"/>
          <w:vertAlign w:val="superscript"/>
        </w:rPr>
        <w:t>th</w:t>
      </w:r>
      <w:r w:rsidR="001B3A97">
        <w:rPr>
          <w:rFonts w:eastAsia="Times New Roman" w:cs="Times New Roman"/>
          <w:color w:val="000000" w:themeColor="text1"/>
          <w:shd w:val="clear" w:color="auto" w:fill="FFFFFF"/>
        </w:rPr>
        <w:t xml:space="preserve"> Congress</w:t>
      </w:r>
      <w:r w:rsidR="001B3A97">
        <w:rPr>
          <w:rStyle w:val="FootnoteReference"/>
          <w:rFonts w:eastAsia="Times New Roman" w:cs="Times New Roman"/>
          <w:color w:val="000000" w:themeColor="text1"/>
          <w:shd w:val="clear" w:color="auto" w:fill="FFFFFF"/>
        </w:rPr>
        <w:footnoteReference w:id="2"/>
      </w:r>
      <w:r w:rsidR="001B3A97">
        <w:rPr>
          <w:rFonts w:eastAsia="Times New Roman" w:cs="Times New Roman"/>
          <w:color w:val="000000" w:themeColor="text1"/>
          <w:shd w:val="clear" w:color="auto" w:fill="FFFFFF"/>
        </w:rPr>
        <w:t xml:space="preserve"> and recently in the current Congress</w:t>
      </w:r>
      <w:r w:rsidR="00E75FE1">
        <w:rPr>
          <w:rStyle w:val="FootnoteReference"/>
          <w:rFonts w:eastAsia="Times New Roman" w:cs="Times New Roman"/>
          <w:color w:val="000000" w:themeColor="text1"/>
          <w:shd w:val="clear" w:color="auto" w:fill="FFFFFF"/>
        </w:rPr>
        <w:footnoteReference w:id="3"/>
      </w:r>
      <w:r w:rsidR="001B3A97">
        <w:rPr>
          <w:rFonts w:eastAsia="Times New Roman" w:cs="Times New Roman"/>
          <w:color w:val="000000" w:themeColor="text1"/>
          <w:shd w:val="clear" w:color="auto" w:fill="FFFFFF"/>
        </w:rPr>
        <w:t xml:space="preserve"> that would codify this provision, creating greater certainty for nonbank institutions. I am proud to offer my support</w:t>
      </w:r>
      <w:r w:rsidR="002F4817">
        <w:rPr>
          <w:rStyle w:val="FootnoteReference"/>
          <w:rFonts w:eastAsia="Times New Roman" w:cs="Times New Roman"/>
          <w:color w:val="000000" w:themeColor="text1"/>
          <w:shd w:val="clear" w:color="auto" w:fill="FFFFFF"/>
        </w:rPr>
        <w:footnoteReference w:id="4"/>
      </w:r>
      <w:r w:rsidR="001B3A97">
        <w:rPr>
          <w:rFonts w:eastAsia="Times New Roman" w:cs="Times New Roman"/>
          <w:color w:val="000000" w:themeColor="text1"/>
          <w:shd w:val="clear" w:color="auto" w:fill="FFFFFF"/>
        </w:rPr>
        <w:t xml:space="preserve"> for his current legislation, S.603, and would encourage the Council to keep this provision in any finalized version of the proposal. </w:t>
      </w:r>
    </w:p>
    <w:p w14:paraId="194FBD90" w14:textId="23280AA4" w:rsidR="00590107" w:rsidRDefault="00590107" w:rsidP="00EF3DF4">
      <w:pPr>
        <w:pStyle w:val="NoSpacing"/>
        <w:ind w:left="990"/>
        <w:rPr>
          <w:rFonts w:eastAsia="Times New Roman" w:cs="Times New Roman"/>
          <w:color w:val="000000" w:themeColor="text1"/>
          <w:shd w:val="clear" w:color="auto" w:fill="FFFFFF"/>
        </w:rPr>
      </w:pPr>
    </w:p>
    <w:p w14:paraId="522CFA70" w14:textId="57F23ABD" w:rsidR="00590107" w:rsidRDefault="00590107" w:rsidP="00EF3DF4">
      <w:pPr>
        <w:pStyle w:val="NoSpacing"/>
        <w:ind w:left="990"/>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 xml:space="preserve">Mr. </w:t>
      </w:r>
      <w:r w:rsidR="001B7E7F">
        <w:rPr>
          <w:rFonts w:eastAsia="Times New Roman" w:cs="Times New Roman"/>
          <w:color w:val="000000" w:themeColor="text1"/>
          <w:shd w:val="clear" w:color="auto" w:fill="FFFFFF"/>
        </w:rPr>
        <w:t>Schlegel</w:t>
      </w:r>
      <w:r>
        <w:rPr>
          <w:rFonts w:eastAsia="Times New Roman" w:cs="Times New Roman"/>
          <w:color w:val="000000" w:themeColor="text1"/>
          <w:shd w:val="clear" w:color="auto" w:fill="FFFFFF"/>
        </w:rPr>
        <w:t>, I would like to thank you for your leadership on this issue as the proposed guidance is an important step that provides greater transparency and accountability for the nonbank SIFI designation process. I would also ask the Council to consider any additional pathway beyond guidance alone to help solidify the certainty created in the proposal for nonbank institutions</w:t>
      </w:r>
      <w:r w:rsidR="00DB503C">
        <w:rPr>
          <w:rFonts w:eastAsia="Times New Roman" w:cs="Times New Roman"/>
          <w:color w:val="000000" w:themeColor="text1"/>
          <w:shd w:val="clear" w:color="auto" w:fill="FFFFFF"/>
        </w:rPr>
        <w:t xml:space="preserve">, including recommending to the Federal Reserve Bank to exercise its statutory obligations under Section 170 of the Dodd-Frank Act to exempt from designating those types of nonbank financial companies that do not exhibit risk factors for designation. </w:t>
      </w:r>
      <w:r>
        <w:rPr>
          <w:rFonts w:eastAsia="Times New Roman" w:cs="Times New Roman"/>
          <w:color w:val="000000" w:themeColor="text1"/>
          <w:shd w:val="clear" w:color="auto" w:fill="FFFFFF"/>
        </w:rPr>
        <w:t xml:space="preserve">I applaud your </w:t>
      </w:r>
      <w:r w:rsidR="00DB503C">
        <w:rPr>
          <w:rFonts w:eastAsia="Times New Roman" w:cs="Times New Roman"/>
          <w:color w:val="000000" w:themeColor="text1"/>
          <w:shd w:val="clear" w:color="auto" w:fill="FFFFFF"/>
        </w:rPr>
        <w:t>initiative</w:t>
      </w:r>
      <w:r>
        <w:rPr>
          <w:rFonts w:eastAsia="Times New Roman" w:cs="Times New Roman"/>
          <w:color w:val="000000" w:themeColor="text1"/>
          <w:shd w:val="clear" w:color="auto" w:fill="FFFFFF"/>
        </w:rPr>
        <w:t xml:space="preserve"> and am looking forward to working with you on this issue. </w:t>
      </w:r>
    </w:p>
    <w:p w14:paraId="5CAC1782" w14:textId="77777777" w:rsidR="004039CF" w:rsidRPr="00A76585" w:rsidRDefault="004039CF" w:rsidP="00590107">
      <w:pPr>
        <w:pStyle w:val="NoSpacing"/>
        <w:rPr>
          <w:rFonts w:cs="Times New Roman"/>
          <w:sz w:val="18"/>
          <w:szCs w:val="18"/>
        </w:rPr>
      </w:pPr>
    </w:p>
    <w:p w14:paraId="4CB8D326" w14:textId="123A30F4" w:rsidR="00AA5E55" w:rsidRDefault="00AA5E55" w:rsidP="004039CF">
      <w:pPr>
        <w:pStyle w:val="NoSpacing"/>
        <w:ind w:left="990"/>
        <w:rPr>
          <w:rFonts w:cs="Times New Roman"/>
        </w:rPr>
      </w:pPr>
      <w:r>
        <w:rPr>
          <w:rFonts w:cs="Times New Roman"/>
        </w:rPr>
        <w:lastRenderedPageBreak/>
        <w:t xml:space="preserve">If you should have any questions or comments, please contact me or James Setterlund by phone, 202-785,0266, or email, </w:t>
      </w:r>
      <w:hyperlink r:id="rId8" w:history="1">
        <w:r w:rsidRPr="00F11F5A">
          <w:rPr>
            <w:rStyle w:val="Hyperlink"/>
            <w:rFonts w:cs="Times New Roman"/>
          </w:rPr>
          <w:t>jsetterlund@atr.org</w:t>
        </w:r>
      </w:hyperlink>
      <w:r>
        <w:rPr>
          <w:rFonts w:cs="Times New Roman"/>
        </w:rPr>
        <w:t>.</w:t>
      </w:r>
    </w:p>
    <w:p w14:paraId="6949B225" w14:textId="77777777" w:rsidR="00AA5E55" w:rsidRDefault="00AA5E55" w:rsidP="004039CF">
      <w:pPr>
        <w:pStyle w:val="NoSpacing"/>
        <w:ind w:left="990"/>
        <w:rPr>
          <w:rFonts w:cs="Times New Roman"/>
        </w:rPr>
      </w:pPr>
    </w:p>
    <w:p w14:paraId="4F20D8D9" w14:textId="77777777" w:rsidR="00AA5E55" w:rsidRDefault="00AA5E55" w:rsidP="004039CF">
      <w:pPr>
        <w:pStyle w:val="NoSpacing"/>
        <w:ind w:left="990"/>
        <w:rPr>
          <w:rFonts w:cs="Times New Roman"/>
        </w:rPr>
      </w:pPr>
      <w:bookmarkStart w:id="0" w:name="_GoBack"/>
      <w:bookmarkEnd w:id="0"/>
    </w:p>
    <w:p w14:paraId="510ECD70" w14:textId="698930C5" w:rsidR="004039CF" w:rsidRPr="00B518D7" w:rsidRDefault="004039CF" w:rsidP="004039CF">
      <w:pPr>
        <w:pStyle w:val="NoSpacing"/>
        <w:ind w:left="990"/>
        <w:rPr>
          <w:rFonts w:cs="Times New Roman"/>
        </w:rPr>
      </w:pPr>
      <w:r w:rsidRPr="00AA68E9">
        <w:rPr>
          <w:rFonts w:cs="Times New Roman"/>
        </w:rPr>
        <w:t>Sincerely,</w:t>
      </w:r>
    </w:p>
    <w:p w14:paraId="3FEC1B27" w14:textId="77777777" w:rsidR="004039CF" w:rsidRPr="00AA68E9" w:rsidRDefault="004039CF" w:rsidP="004039CF">
      <w:pPr>
        <w:ind w:left="990"/>
      </w:pPr>
      <w:r w:rsidRPr="00AA68E9">
        <w:br/>
      </w:r>
      <w:r w:rsidRPr="00AA68E9">
        <w:rPr>
          <w:noProof/>
        </w:rPr>
        <w:drawing>
          <wp:inline distT="0" distB="0" distL="0" distR="0" wp14:anchorId="5BE1C36A" wp14:editId="7F12AC38">
            <wp:extent cx="1295400" cy="3333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333375"/>
                    </a:xfrm>
                    <a:prstGeom prst="rect">
                      <a:avLst/>
                    </a:prstGeom>
                    <a:noFill/>
                    <a:ln>
                      <a:noFill/>
                    </a:ln>
                  </pic:spPr>
                </pic:pic>
              </a:graphicData>
            </a:graphic>
          </wp:inline>
        </w:drawing>
      </w:r>
    </w:p>
    <w:p w14:paraId="5FDA7C5C" w14:textId="208BEAAA" w:rsidR="004039CF" w:rsidRDefault="004039CF" w:rsidP="004039CF">
      <w:pPr>
        <w:ind w:left="990"/>
      </w:pPr>
      <w:r w:rsidRPr="00AA68E9">
        <w:t xml:space="preserve">Grover G. Norquist </w:t>
      </w:r>
      <w:r w:rsidRPr="00AA68E9">
        <w:br/>
        <w:t>President</w:t>
      </w:r>
      <w:r>
        <w:t xml:space="preserve">, </w:t>
      </w:r>
      <w:r w:rsidRPr="00AA68E9">
        <w:t>Americans for Tax Reform</w:t>
      </w:r>
    </w:p>
    <w:p w14:paraId="32B648EF" w14:textId="1618D61D" w:rsidR="00EF3DF4" w:rsidRDefault="00EF3DF4" w:rsidP="004039CF">
      <w:pPr>
        <w:ind w:left="990"/>
      </w:pPr>
    </w:p>
    <w:p w14:paraId="51DACF7B" w14:textId="77777777" w:rsidR="00EF3DF4" w:rsidRDefault="00EF3DF4" w:rsidP="004039CF">
      <w:pPr>
        <w:ind w:left="990"/>
      </w:pPr>
    </w:p>
    <w:p w14:paraId="6D4BD892" w14:textId="77777777" w:rsidR="002F4817" w:rsidRDefault="002F4817" w:rsidP="004039CF">
      <w:pPr>
        <w:ind w:left="990"/>
      </w:pPr>
    </w:p>
    <w:p w14:paraId="03698BEE" w14:textId="02C445FF" w:rsidR="00450629" w:rsidRDefault="00450629" w:rsidP="00450629">
      <w:pPr>
        <w:pStyle w:val="Default"/>
        <w:ind w:left="990"/>
      </w:pPr>
      <w:r>
        <w:t>CC: The Honorable Steven T. Mnuchin, Secretary, Department of the Treasury</w:t>
      </w:r>
    </w:p>
    <w:p w14:paraId="3EBDF93D" w14:textId="54E6FE65" w:rsidR="001B7E7F" w:rsidRDefault="001B7E7F" w:rsidP="00450629">
      <w:pPr>
        <w:pStyle w:val="Default"/>
        <w:ind w:left="990"/>
      </w:pPr>
      <w:r>
        <w:t>Bimal Patel, Deputy Assistant Secretary for the Council</w:t>
      </w:r>
    </w:p>
    <w:p w14:paraId="0329E8B4" w14:textId="77777777" w:rsidR="00450629" w:rsidRDefault="00450629" w:rsidP="00450629">
      <w:pPr>
        <w:pStyle w:val="Default"/>
        <w:ind w:left="990"/>
      </w:pPr>
      <w:r>
        <w:t xml:space="preserve">Eric </w:t>
      </w:r>
      <w:proofErr w:type="spellStart"/>
      <w:r>
        <w:t>Froman</w:t>
      </w:r>
      <w:proofErr w:type="spellEnd"/>
      <w:r>
        <w:t>, Principal Deputy Assistant General Counsel (Banking and Finance) and Executive Director of the Council</w:t>
      </w:r>
    </w:p>
    <w:p w14:paraId="79D1008D" w14:textId="77777777" w:rsidR="00450629" w:rsidRDefault="00450629" w:rsidP="00450629">
      <w:pPr>
        <w:pStyle w:val="Default"/>
        <w:ind w:left="990"/>
      </w:pPr>
      <w:r>
        <w:t xml:space="preserve">Stephen Ledbetter, Director of Policy, Office of the Financial Stability Oversight Council </w:t>
      </w:r>
    </w:p>
    <w:p w14:paraId="69DCB4D2" w14:textId="3CBA3DA9" w:rsidR="00A10D5E" w:rsidRDefault="00A10D5E" w:rsidP="00450629">
      <w:pPr>
        <w:pStyle w:val="Default"/>
        <w:ind w:left="990"/>
      </w:pPr>
    </w:p>
    <w:sectPr w:rsidR="00A10D5E" w:rsidSect="00DF6F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3B029" w14:textId="77777777" w:rsidR="00B57A42" w:rsidRDefault="00B57A42" w:rsidP="001B1379">
      <w:r>
        <w:separator/>
      </w:r>
    </w:p>
  </w:endnote>
  <w:endnote w:type="continuationSeparator" w:id="0">
    <w:p w14:paraId="76B4FCC3" w14:textId="77777777" w:rsidR="00B57A42" w:rsidRDefault="00B57A42" w:rsidP="001B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53FA4" w14:textId="77777777" w:rsidR="00B57A42" w:rsidRDefault="00B57A42" w:rsidP="001B1379">
      <w:r>
        <w:separator/>
      </w:r>
    </w:p>
  </w:footnote>
  <w:footnote w:type="continuationSeparator" w:id="0">
    <w:p w14:paraId="35EE0CB0" w14:textId="77777777" w:rsidR="00B57A42" w:rsidRDefault="00B57A42" w:rsidP="001B1379">
      <w:r>
        <w:continuationSeparator/>
      </w:r>
    </w:p>
  </w:footnote>
  <w:footnote w:id="1">
    <w:p w14:paraId="4B7FE745" w14:textId="2E7C146E" w:rsidR="001B1379" w:rsidRPr="001B3A97" w:rsidRDefault="001B1379" w:rsidP="001B3A97">
      <w:pPr>
        <w:ind w:left="1080" w:hanging="90"/>
      </w:pPr>
      <w:r w:rsidRPr="00281360">
        <w:rPr>
          <w:rStyle w:val="FootnoteReference"/>
        </w:rPr>
        <w:footnoteRef/>
      </w:r>
      <w:r w:rsidRPr="00281360">
        <w:t xml:space="preserve"> </w:t>
      </w:r>
      <w:r w:rsidRPr="00281360">
        <w:rPr>
          <w:sz w:val="20"/>
          <w:szCs w:val="20"/>
        </w:rPr>
        <w:t xml:space="preserve">Postal, Arthur D., Think Advisor, </w:t>
      </w:r>
      <w:r w:rsidR="00506E7B" w:rsidRPr="00281360">
        <w:rPr>
          <w:i/>
          <w:sz w:val="20"/>
          <w:szCs w:val="20"/>
        </w:rPr>
        <w:t>AIG Preparing for Federal Regulation: AIG is Making Moves as a SIFI to Bulk up its Capital</w:t>
      </w:r>
      <w:r w:rsidR="00506E7B" w:rsidRPr="00281360">
        <w:rPr>
          <w:sz w:val="20"/>
          <w:szCs w:val="20"/>
        </w:rPr>
        <w:t xml:space="preserve">, May 6, 2014, </w:t>
      </w:r>
      <w:hyperlink r:id="rId1" w:history="1">
        <w:r w:rsidR="00506E7B" w:rsidRPr="00281360">
          <w:rPr>
            <w:rStyle w:val="Hyperlink"/>
            <w:sz w:val="20"/>
            <w:szCs w:val="20"/>
          </w:rPr>
          <w:t>https://www.thinkadvisor.com/2014/05/06/aig-preparing-for-federal-regulation/</w:t>
        </w:r>
      </w:hyperlink>
    </w:p>
  </w:footnote>
  <w:footnote w:id="2">
    <w:p w14:paraId="2AFB8960" w14:textId="77777777" w:rsidR="001B3A97" w:rsidRPr="00E75FE1" w:rsidRDefault="001B3A97" w:rsidP="001B3A97">
      <w:pPr>
        <w:ind w:left="990"/>
        <w:rPr>
          <w:sz w:val="20"/>
          <w:szCs w:val="20"/>
        </w:rPr>
      </w:pPr>
      <w:r w:rsidRPr="001B3A97">
        <w:rPr>
          <w:rStyle w:val="FootnoteReference"/>
        </w:rPr>
        <w:footnoteRef/>
      </w:r>
      <w:r w:rsidRPr="001B3A97">
        <w:t xml:space="preserve"> </w:t>
      </w:r>
      <w:r w:rsidRPr="00E75FE1">
        <w:rPr>
          <w:sz w:val="20"/>
          <w:szCs w:val="20"/>
        </w:rPr>
        <w:t xml:space="preserve">Sen. Rounds, Mike, S. 3577, </w:t>
      </w:r>
      <w:r w:rsidRPr="00E75FE1">
        <w:rPr>
          <w:i/>
          <w:sz w:val="20"/>
          <w:szCs w:val="20"/>
        </w:rPr>
        <w:t>Financial Stability Oversight Council Improvement Act of 2018</w:t>
      </w:r>
      <w:r w:rsidRPr="00E75FE1">
        <w:rPr>
          <w:sz w:val="20"/>
          <w:szCs w:val="20"/>
        </w:rPr>
        <w:t xml:space="preserve">,    </w:t>
      </w:r>
    </w:p>
    <w:p w14:paraId="575D6FEF" w14:textId="7546537C" w:rsidR="001B3A97" w:rsidRPr="00E75FE1" w:rsidRDefault="001B3A97" w:rsidP="00E75FE1">
      <w:pPr>
        <w:ind w:firstLine="1170"/>
        <w:rPr>
          <w:sz w:val="20"/>
          <w:szCs w:val="20"/>
        </w:rPr>
      </w:pPr>
      <w:r w:rsidRPr="00E75FE1">
        <w:rPr>
          <w:sz w:val="20"/>
          <w:szCs w:val="20"/>
        </w:rPr>
        <w:t xml:space="preserve">Oct. 11, 2018, </w:t>
      </w:r>
      <w:hyperlink r:id="rId2" w:history="1">
        <w:r w:rsidRPr="00E75FE1">
          <w:rPr>
            <w:rStyle w:val="Hyperlink"/>
            <w:sz w:val="20"/>
            <w:szCs w:val="20"/>
          </w:rPr>
          <w:t>https://www.congress.gov/bill/115th-congress/senate-bill/3577/text</w:t>
        </w:r>
      </w:hyperlink>
    </w:p>
  </w:footnote>
  <w:footnote w:id="3">
    <w:p w14:paraId="450EBAA2" w14:textId="0D8F33CA" w:rsidR="00E75FE1" w:rsidRPr="002F4817" w:rsidRDefault="00E75FE1" w:rsidP="002F4817">
      <w:pPr>
        <w:ind w:left="1170" w:hanging="180"/>
        <w:rPr>
          <w:sz w:val="20"/>
          <w:szCs w:val="20"/>
        </w:rPr>
      </w:pPr>
      <w:r w:rsidRPr="002F4817">
        <w:rPr>
          <w:rStyle w:val="FootnoteReference"/>
        </w:rPr>
        <w:footnoteRef/>
      </w:r>
      <w:r w:rsidRPr="00E75FE1">
        <w:rPr>
          <w:sz w:val="20"/>
          <w:szCs w:val="20"/>
        </w:rPr>
        <w:t xml:space="preserve"> Sen. Rounds, Mike, S. 603, </w:t>
      </w:r>
      <w:r w:rsidRPr="00E75FE1">
        <w:rPr>
          <w:i/>
          <w:sz w:val="20"/>
          <w:szCs w:val="20"/>
        </w:rPr>
        <w:t>Financial Stability Oversight Council Improvement Act of 201</w:t>
      </w:r>
      <w:r w:rsidRPr="00E75FE1">
        <w:rPr>
          <w:i/>
          <w:sz w:val="20"/>
          <w:szCs w:val="20"/>
        </w:rPr>
        <w:t>9</w:t>
      </w:r>
      <w:r w:rsidRPr="00E75FE1">
        <w:rPr>
          <w:sz w:val="20"/>
          <w:szCs w:val="20"/>
        </w:rPr>
        <w:t xml:space="preserve">, </w:t>
      </w:r>
      <w:r w:rsidRPr="00E75FE1">
        <w:rPr>
          <w:sz w:val="20"/>
          <w:szCs w:val="20"/>
        </w:rPr>
        <w:t>Feb. 28</w:t>
      </w:r>
      <w:r w:rsidRPr="00E75FE1">
        <w:rPr>
          <w:sz w:val="20"/>
          <w:szCs w:val="20"/>
        </w:rPr>
        <w:t>, 201</w:t>
      </w:r>
      <w:r w:rsidRPr="00E75FE1">
        <w:rPr>
          <w:sz w:val="20"/>
          <w:szCs w:val="20"/>
        </w:rPr>
        <w:t xml:space="preserve">9, </w:t>
      </w:r>
      <w:hyperlink r:id="rId3" w:history="1">
        <w:r w:rsidRPr="00E75FE1">
          <w:rPr>
            <w:color w:val="0000FF"/>
            <w:sz w:val="20"/>
            <w:szCs w:val="20"/>
            <w:u w:val="single"/>
          </w:rPr>
          <w:t>https://www.congress.gov/bill/116th-congress/senate-bill/603/text</w:t>
        </w:r>
      </w:hyperlink>
    </w:p>
  </w:footnote>
  <w:footnote w:id="4">
    <w:p w14:paraId="2E1BD2B7" w14:textId="77777777" w:rsidR="00F30D49" w:rsidRDefault="002F4817" w:rsidP="00F30D49">
      <w:pPr>
        <w:ind w:left="990"/>
        <w:rPr>
          <w:sz w:val="20"/>
          <w:szCs w:val="20"/>
        </w:rPr>
      </w:pPr>
      <w:r>
        <w:rPr>
          <w:rStyle w:val="FootnoteReference"/>
        </w:rPr>
        <w:footnoteRef/>
      </w:r>
      <w:r>
        <w:t xml:space="preserve"> </w:t>
      </w:r>
      <w:r w:rsidRPr="002F4817">
        <w:rPr>
          <w:sz w:val="20"/>
          <w:szCs w:val="20"/>
        </w:rPr>
        <w:t xml:space="preserve">Norquist, Grover, G. </w:t>
      </w:r>
      <w:r w:rsidRPr="002F4817">
        <w:rPr>
          <w:i/>
          <w:sz w:val="20"/>
          <w:szCs w:val="20"/>
        </w:rPr>
        <w:t>ATR Supports Sen. Rounds’ (R-S.D.) FSOC Improvement Act</w:t>
      </w:r>
      <w:r w:rsidRPr="002F4817">
        <w:rPr>
          <w:sz w:val="20"/>
          <w:szCs w:val="20"/>
        </w:rPr>
        <w:t xml:space="preserve">, April 29, 2019, </w:t>
      </w:r>
    </w:p>
    <w:p w14:paraId="3E0AAE66" w14:textId="24F4E6E5" w:rsidR="002F4817" w:rsidRPr="002F4817" w:rsidRDefault="00F30D49" w:rsidP="00F30D49">
      <w:pPr>
        <w:ind w:left="1170"/>
        <w:rPr>
          <w:sz w:val="20"/>
          <w:szCs w:val="20"/>
        </w:rPr>
      </w:pPr>
      <w:hyperlink r:id="rId4" w:history="1">
        <w:r w:rsidRPr="00F11F5A">
          <w:rPr>
            <w:rStyle w:val="Hyperlink"/>
            <w:sz w:val="20"/>
            <w:szCs w:val="20"/>
          </w:rPr>
          <w:t>https://www.atr.org/sites/default/files/assets/LoS%20-%20Rounds%2C%20FSOC%20Improvment%2C%20April%202019.pdf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CF"/>
    <w:rsid w:val="00015C10"/>
    <w:rsid w:val="00090327"/>
    <w:rsid w:val="000955E5"/>
    <w:rsid w:val="000A5D5F"/>
    <w:rsid w:val="0014482D"/>
    <w:rsid w:val="0016325B"/>
    <w:rsid w:val="001B1379"/>
    <w:rsid w:val="001B3A97"/>
    <w:rsid w:val="001B7E7F"/>
    <w:rsid w:val="001C5D72"/>
    <w:rsid w:val="00281360"/>
    <w:rsid w:val="0028535F"/>
    <w:rsid w:val="002F4817"/>
    <w:rsid w:val="00343CC0"/>
    <w:rsid w:val="00364F2D"/>
    <w:rsid w:val="004039CF"/>
    <w:rsid w:val="00450629"/>
    <w:rsid w:val="004B1D8C"/>
    <w:rsid w:val="004B6C3F"/>
    <w:rsid w:val="00506E7B"/>
    <w:rsid w:val="00551136"/>
    <w:rsid w:val="00590107"/>
    <w:rsid w:val="00592598"/>
    <w:rsid w:val="005B34A2"/>
    <w:rsid w:val="006008D6"/>
    <w:rsid w:val="00652031"/>
    <w:rsid w:val="006875A3"/>
    <w:rsid w:val="006A170F"/>
    <w:rsid w:val="006E3F0A"/>
    <w:rsid w:val="0085207C"/>
    <w:rsid w:val="00896ADF"/>
    <w:rsid w:val="008E3D14"/>
    <w:rsid w:val="00922670"/>
    <w:rsid w:val="00925227"/>
    <w:rsid w:val="00973E28"/>
    <w:rsid w:val="00A10D5E"/>
    <w:rsid w:val="00AA5E55"/>
    <w:rsid w:val="00AB5297"/>
    <w:rsid w:val="00AB71DB"/>
    <w:rsid w:val="00B57A42"/>
    <w:rsid w:val="00BD503E"/>
    <w:rsid w:val="00BF3C00"/>
    <w:rsid w:val="00CE03DA"/>
    <w:rsid w:val="00DB503C"/>
    <w:rsid w:val="00DF5354"/>
    <w:rsid w:val="00DF6FAA"/>
    <w:rsid w:val="00E75FE1"/>
    <w:rsid w:val="00E861B4"/>
    <w:rsid w:val="00EF3DF4"/>
    <w:rsid w:val="00F30D49"/>
    <w:rsid w:val="00F709B0"/>
    <w:rsid w:val="00FC2D81"/>
    <w:rsid w:val="00FF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1DD6"/>
  <w14:defaultImageDpi w14:val="32767"/>
  <w15:chartTrackingRefBased/>
  <w15:docId w15:val="{6CD8EAFE-78E8-1640-88B9-23435A39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75F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9CF"/>
    <w:rPr>
      <w:rFonts w:ascii="Times New Roman" w:hAnsi="Times New Roman"/>
    </w:rPr>
  </w:style>
  <w:style w:type="character" w:styleId="Hyperlink">
    <w:name w:val="Hyperlink"/>
    <w:basedOn w:val="DefaultParagraphFont"/>
    <w:uiPriority w:val="99"/>
    <w:unhideWhenUsed/>
    <w:rsid w:val="004039CF"/>
    <w:rPr>
      <w:color w:val="0563C1" w:themeColor="hyperlink"/>
      <w:u w:val="single"/>
    </w:rPr>
  </w:style>
  <w:style w:type="paragraph" w:styleId="BalloonText">
    <w:name w:val="Balloon Text"/>
    <w:basedOn w:val="Normal"/>
    <w:link w:val="BalloonTextChar"/>
    <w:uiPriority w:val="99"/>
    <w:semiHidden/>
    <w:unhideWhenUsed/>
    <w:rsid w:val="004039CF"/>
    <w:rPr>
      <w:rFonts w:eastAsiaTheme="minorHAnsi"/>
      <w:sz w:val="18"/>
      <w:szCs w:val="18"/>
    </w:rPr>
  </w:style>
  <w:style w:type="character" w:customStyle="1" w:styleId="BalloonTextChar">
    <w:name w:val="Balloon Text Char"/>
    <w:basedOn w:val="DefaultParagraphFont"/>
    <w:link w:val="BalloonText"/>
    <w:uiPriority w:val="99"/>
    <w:semiHidden/>
    <w:rsid w:val="004039CF"/>
    <w:rPr>
      <w:rFonts w:ascii="Times New Roman" w:hAnsi="Times New Roman" w:cs="Times New Roman"/>
      <w:sz w:val="18"/>
      <w:szCs w:val="18"/>
    </w:rPr>
  </w:style>
  <w:style w:type="paragraph" w:customStyle="1" w:styleId="Default">
    <w:name w:val="Default"/>
    <w:rsid w:val="00450629"/>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1B137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B1379"/>
    <w:rPr>
      <w:sz w:val="20"/>
      <w:szCs w:val="20"/>
    </w:rPr>
  </w:style>
  <w:style w:type="character" w:styleId="FootnoteReference">
    <w:name w:val="footnote reference"/>
    <w:basedOn w:val="DefaultParagraphFont"/>
    <w:uiPriority w:val="99"/>
    <w:semiHidden/>
    <w:unhideWhenUsed/>
    <w:rsid w:val="001B1379"/>
    <w:rPr>
      <w:vertAlign w:val="superscript"/>
    </w:rPr>
  </w:style>
  <w:style w:type="character" w:styleId="UnresolvedMention">
    <w:name w:val="Unresolved Mention"/>
    <w:basedOn w:val="DefaultParagraphFont"/>
    <w:uiPriority w:val="99"/>
    <w:rsid w:val="00F30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4020">
      <w:bodyDiv w:val="1"/>
      <w:marLeft w:val="0"/>
      <w:marRight w:val="0"/>
      <w:marTop w:val="0"/>
      <w:marBottom w:val="0"/>
      <w:divBdr>
        <w:top w:val="none" w:sz="0" w:space="0" w:color="auto"/>
        <w:left w:val="none" w:sz="0" w:space="0" w:color="auto"/>
        <w:bottom w:val="none" w:sz="0" w:space="0" w:color="auto"/>
        <w:right w:val="none" w:sz="0" w:space="0" w:color="auto"/>
      </w:divBdr>
    </w:div>
    <w:div w:id="314993880">
      <w:bodyDiv w:val="1"/>
      <w:marLeft w:val="0"/>
      <w:marRight w:val="0"/>
      <w:marTop w:val="0"/>
      <w:marBottom w:val="0"/>
      <w:divBdr>
        <w:top w:val="none" w:sz="0" w:space="0" w:color="auto"/>
        <w:left w:val="none" w:sz="0" w:space="0" w:color="auto"/>
        <w:bottom w:val="none" w:sz="0" w:space="0" w:color="auto"/>
        <w:right w:val="none" w:sz="0" w:space="0" w:color="auto"/>
      </w:divBdr>
    </w:div>
    <w:div w:id="915165020">
      <w:bodyDiv w:val="1"/>
      <w:marLeft w:val="0"/>
      <w:marRight w:val="0"/>
      <w:marTop w:val="0"/>
      <w:marBottom w:val="0"/>
      <w:divBdr>
        <w:top w:val="none" w:sz="0" w:space="0" w:color="auto"/>
        <w:left w:val="none" w:sz="0" w:space="0" w:color="auto"/>
        <w:bottom w:val="none" w:sz="0" w:space="0" w:color="auto"/>
        <w:right w:val="none" w:sz="0" w:space="0" w:color="auto"/>
      </w:divBdr>
    </w:div>
    <w:div w:id="1360357727">
      <w:bodyDiv w:val="1"/>
      <w:marLeft w:val="0"/>
      <w:marRight w:val="0"/>
      <w:marTop w:val="0"/>
      <w:marBottom w:val="0"/>
      <w:divBdr>
        <w:top w:val="none" w:sz="0" w:space="0" w:color="auto"/>
        <w:left w:val="none" w:sz="0" w:space="0" w:color="auto"/>
        <w:bottom w:val="none" w:sz="0" w:space="0" w:color="auto"/>
        <w:right w:val="none" w:sz="0" w:space="0" w:color="auto"/>
      </w:divBdr>
    </w:div>
    <w:div w:id="15805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etterlund@at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congress.gov/bill/116th-congress/senate-bill/603/text" TargetMode="External"/><Relationship Id="rId2" Type="http://schemas.openxmlformats.org/officeDocument/2006/relationships/hyperlink" Target="https://www.congress.gov/bill/115th-congress/senate-bill/3577/text" TargetMode="External"/><Relationship Id="rId1" Type="http://schemas.openxmlformats.org/officeDocument/2006/relationships/hyperlink" Target="https://www.thinkadvisor.com/2014/05/06/aig-preparing-for-federal-regulation/" TargetMode="External"/><Relationship Id="rId4" Type="http://schemas.openxmlformats.org/officeDocument/2006/relationships/hyperlink" Target="https://www.atr.org/sites/default/files/assets/LoS%20-%20Rounds%2C%20FSOC%20Improvment%2C%20April%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20E0B-C8D3-BD45-8E2A-58B82482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Setterlund</dc:creator>
  <cp:keywords/>
  <dc:description/>
  <cp:lastModifiedBy>James Setterlund</cp:lastModifiedBy>
  <cp:revision>3</cp:revision>
  <cp:lastPrinted>2019-05-13T20:19:00Z</cp:lastPrinted>
  <dcterms:created xsi:type="dcterms:W3CDTF">2019-05-13T20:19:00Z</dcterms:created>
  <dcterms:modified xsi:type="dcterms:W3CDTF">2019-05-13T20:49:00Z</dcterms:modified>
</cp:coreProperties>
</file>